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58" w:rsidRDefault="00104B58" w:rsidP="004B4B3B">
      <w:pPr>
        <w:shd w:val="clear" w:color="auto" w:fill="FFFFFF"/>
        <w:spacing w:before="300" w:after="0" w:line="300" w:lineRule="atLeast"/>
        <w:outlineLvl w:val="0"/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t>Источник:</w:t>
      </w:r>
    </w:p>
    <w:p w:rsidR="00104B58" w:rsidRDefault="00104B58" w:rsidP="004B4B3B">
      <w:pPr>
        <w:shd w:val="clear" w:color="auto" w:fill="FFFFFF"/>
        <w:spacing w:before="300" w:after="0" w:line="300" w:lineRule="atLeast"/>
        <w:outlineLvl w:val="0"/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fldChar w:fldCharType="begin"/>
      </w:r>
      <w:r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instrText xml:space="preserve"> HYPERLINK "</w:instrText>
      </w:r>
      <w:r w:rsidRPr="00104B58"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instrText>http://www.basel.ru/sectornews/basel_29_01_14/</w:instrText>
      </w:r>
      <w:r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instrText xml:space="preserve">" </w:instrText>
      </w:r>
      <w:r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fldChar w:fldCharType="separate"/>
      </w:r>
      <w:r w:rsidRPr="004A4B43">
        <w:rPr>
          <w:rStyle w:val="a3"/>
          <w:rFonts w:ascii="Trebuchet MS" w:eastAsia="Times New Roman" w:hAnsi="Trebuchet MS" w:cs="Arial"/>
          <w:b/>
          <w:bCs/>
          <w:kern w:val="36"/>
          <w:sz w:val="24"/>
          <w:szCs w:val="24"/>
          <w:lang w:eastAsia="ru-RU"/>
        </w:rPr>
        <w:t>http://www.basel.ru/sectornews/basel_29_01_14/</w:t>
      </w:r>
      <w:r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fldChar w:fldCharType="end"/>
      </w:r>
    </w:p>
    <w:p w:rsidR="00104B58" w:rsidRDefault="00104B58" w:rsidP="004B4B3B">
      <w:pPr>
        <w:shd w:val="clear" w:color="auto" w:fill="FFFFFF"/>
        <w:spacing w:before="300" w:after="0" w:line="300" w:lineRule="atLeast"/>
        <w:outlineLvl w:val="0"/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B4B3B" w:rsidRPr="004B4B3B" w:rsidRDefault="004B4B3B" w:rsidP="004B4B3B">
      <w:pPr>
        <w:shd w:val="clear" w:color="auto" w:fill="FFFFFF"/>
        <w:spacing w:before="300" w:after="0" w:line="300" w:lineRule="atLeast"/>
        <w:outlineLvl w:val="0"/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</w:pPr>
      <w:r w:rsidRPr="004B4B3B">
        <w:rPr>
          <w:rFonts w:ascii="Trebuchet MS" w:eastAsia="Times New Roman" w:hAnsi="Trebuchet MS" w:cs="Arial"/>
          <w:b/>
          <w:bCs/>
          <w:color w:val="333333"/>
          <w:kern w:val="36"/>
          <w:sz w:val="24"/>
          <w:szCs w:val="24"/>
          <w:lang w:eastAsia="ru-RU"/>
        </w:rPr>
        <w:t xml:space="preserve">«Базовый Элемент» представляет результаты исследования, посвященного поиску новых моделей функционирования моногородов России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Москва, 29 января 2014 года, – «Базовый Элемент», одна из крупнейших российских диверсифицированных промышленных групп, представляет результаты беспрецедентного по масштабу исследования, посвященного поиску новых моделей функционирования моногородов России, которое является первым опытом системного изучения проблемы моногородов в нашей стране. Исследование охватывает 18 мон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о-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 малых городов России и включает обширную программу полевых работ (более 300 глубинных интервью). В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результате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данного исследования «Базовый Элемент» разработал новые модели – набор мероприятий и механизмов – развития и поддержки моногородов различных типов. Реализация этих моделей позволит, эффективно используя государственные средства, решить проблемы большинства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монопрофильных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поселений России за 4-5 лет.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Основные выводы исследования: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4B4B3B" w:rsidRPr="004B4B3B" w:rsidRDefault="004B4B3B" w:rsidP="004B4B3B">
      <w:pPr>
        <w:numPr>
          <w:ilvl w:val="0"/>
          <w:numId w:val="1"/>
        </w:numPr>
        <w:shd w:val="clear" w:color="auto" w:fill="FFFFFF"/>
        <w:spacing w:before="195" w:after="195" w:line="300" w:lineRule="atLeast"/>
        <w:ind w:left="0"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Как показало исследование, моногорода России не однородны, а делятся на несколько типов в зависимости от перспектив градообразующего предприятия и потенциала городской экономики. Поэтому в основе государственной политики в отношении моногородов должен лежать дифференцированный подход к поселениям различного типа. </w:t>
      </w: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Дифференцированная политика позволит, эффективно используя государственные </w:t>
      </w:r>
      <w:proofErr w:type="spell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средства</w:t>
      </w:r>
      <w:proofErr w:type="gram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,р</w:t>
      </w:r>
      <w:proofErr w:type="gram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ешить</w:t>
      </w:r>
      <w:proofErr w:type="spell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проблемы большинства российских </w:t>
      </w:r>
      <w:proofErr w:type="spell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монопрофильных</w:t>
      </w:r>
      <w:proofErr w:type="spell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</w:t>
      </w:r>
      <w:proofErr w:type="spell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поселенийза</w:t>
      </w:r>
      <w:proofErr w:type="spell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4-5 лет.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4B4B3B" w:rsidRPr="004B4B3B" w:rsidRDefault="004B4B3B" w:rsidP="004B4B3B">
      <w:pPr>
        <w:numPr>
          <w:ilvl w:val="0"/>
          <w:numId w:val="1"/>
        </w:numPr>
        <w:shd w:val="clear" w:color="auto" w:fill="FFFFFF"/>
        <w:spacing w:before="195" w:after="195" w:line="300" w:lineRule="atLeast"/>
        <w:ind w:left="0"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решения проблемы моногородов «Базовый Элемент» предлагает использовать три типовые модели, которые могут быть адаптированы для всех российских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монопрофильных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поселений: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ind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«Управляемое сжатие»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для городов с закрывающимся градообразующим предприятием и без потенциала развития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городской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экономики;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ind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«Стабильный моногород»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– 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поселений со стабильно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работаюшим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градообразующим предприятием, но без потенциала развития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альтернативной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экономики;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ind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модель «Индустриальная диверсификация»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– 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для городов с инвестиционным потенциалом.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ind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Государственная программа поддержки моногородов, реализованная в 2009-2011 гг., фактически использовала только одну модель </w:t>
      </w: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– 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индустриальной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диверсификации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.О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днако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эта модель оказалась применима только в тех городах, у которых был потенциал для создания новых крупных производств. Вне госпрограммы остались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старопромышленные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территории и депрессивные поселки, не обладающие потенциалом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индустриального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развития. </w:t>
      </w:r>
    </w:p>
    <w:p w:rsidR="004B4B3B" w:rsidRPr="004B4B3B" w:rsidRDefault="004B4B3B" w:rsidP="004B4B3B">
      <w:pPr>
        <w:numPr>
          <w:ilvl w:val="0"/>
          <w:numId w:val="1"/>
        </w:numPr>
        <w:shd w:val="clear" w:color="auto" w:fill="FFFFFF"/>
        <w:spacing w:before="195" w:after="195" w:line="300" w:lineRule="atLeast"/>
        <w:ind w:left="0"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20%</w:t>
      </w:r>
      <w:bookmarkStart w:id="0" w:name="_ftnref1"/>
      <w:r w:rsidR="003C5AEB"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file:///C:\\Users\\SvetlanaMM\\AppData\\Local\\Microsoft\\Windows\\Temporary%20Internet%20Files\\Content.Outlook\\C7JP0X1Y\\29012014_%D0%91%D0%B0%D0%B7%D0%BE%D0%B2%D1%8B%D0%B9%20%D0%AD%D0%BB%D0%B5%D0%BC%D0%B5%D0%BD%D1%82%20%D0%BF%D1%80%D0%B5%D0%B4%D1%81%D1%82%D0%B0%D0%B2%D0%BB%D1%8F%D0%B5%D1%82%20%D1%80%D0%B5%D0%B7%D1%83%D0%BB%D1%8C%D1%82%D0%B0%D1%82%D1%8B%20%D0%B8%D1%81%D1%81%D0%BB%D0%B5%D0%B4%D0%BE%D0%B2%D0%B0%D0%BD%D0%B8%D1%8F%20%D0%BF%D0%BE%20%D0%BF%D0%BE%D0%B8%D1%81%D0%BA%D1%83%20%D0%BD%D0%BE%D0%B2%D1%8B%D1%85%20%D0%BC%D0%BE%D0%B4%D0%B5%D0%BB%D0%B5%D0%B9%20%D1%84%D1%83%D0%BD%D0%BA%D1%86%D0%B8%D0%BE%D0%BD%D0%B8%D1%80%D0%BE%D0%B2%D0%B0%D0%BD%D0%B8%D1%8F%20%D0%BC%D0%BE%D0%BD%D0%BE%D0%B3%D0%BE%D1%80%D0%BE%D0%B4%D0%BE%D0%B2%20%D0%A0%D0%BE%D1%81%D1%81%D0%B8%D0%B8.docx" \l "_ftn1" </w:instrText>
      </w:r>
      <w:r w:rsidR="003C5AEB"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4B4B3B">
        <w:rPr>
          <w:rFonts w:ascii="Arial" w:eastAsia="Times New Roman" w:hAnsi="Arial" w:cs="Arial"/>
          <w:b/>
          <w:bCs/>
          <w:color w:val="009999"/>
          <w:sz w:val="20"/>
          <w:u w:val="single"/>
          <w:lang w:eastAsia="ru-RU"/>
        </w:rPr>
        <w:t>[1]</w:t>
      </w:r>
      <w:r w:rsidR="003C5AEB"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bookmarkEnd w:id="0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кризисных моногородов, в которых градообразующие предприятия </w:t>
      </w:r>
      <w:proofErr w:type="gram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закрываются и нет</w:t>
      </w:r>
      <w:proofErr w:type="gram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потенциала для формирования новой экономики, требуется применение новой для России модели городского управления – «Управляемое сжатие», а в единичных случаях необходима их ликвидация. 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Управляемое сжатие представляет 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собой комплекс мер по оптимизации территории поселения и обеспечению занятости/переселения жителей моногорода при консервации или закрытии градообразующего предприятия. Управляемое сжатие является более предпочтительным по сравнению с ликвидацией, поскольку позволяет решить вопросы трудоустройства переселенцев и управления жилым фондом. При реализации модели «Управляемое сжатие» город сжимается до поддерживаемых размеров, отъезду переселенцев предшествует поиск нового места работы, жители, не желающие уезжать, остаются, при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расконсервации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предприятия возможен запуск производства. В то же время ликвидация поселка и переселение жителей оставляют нерешенными вопросы о том, как трудоустроить жителей, что делать с опустевшим поселком (бросать, сносить и пр.), что делать с теми, кто категорически не захочет переезжать. </w:t>
      </w:r>
    </w:p>
    <w:p w:rsidR="004B4B3B" w:rsidRPr="004B4B3B" w:rsidRDefault="004B4B3B" w:rsidP="004B4B3B">
      <w:pPr>
        <w:numPr>
          <w:ilvl w:val="0"/>
          <w:numId w:val="1"/>
        </w:numPr>
        <w:shd w:val="clear" w:color="auto" w:fill="FFFFFF"/>
        <w:spacing w:before="195" w:after="195" w:line="300" w:lineRule="atLeast"/>
        <w:ind w:left="0"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Модель «Управляемое сжатие» требует большой организационной работы и привлечения ресурсов федеральной власти, но является при этом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более экономически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оправданной, чем ликвидация.</w:t>
      </w: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Хорошо спланированная политика управляемого сжатия кризисных моногородов обойдется в 20-33 </w:t>
      </w:r>
      <w:proofErr w:type="spellStart"/>
      <w:proofErr w:type="gram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млрд</w:t>
      </w:r>
      <w:proofErr w:type="spellEnd"/>
      <w:proofErr w:type="gram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рублей в зависимости от масштабов переселения (от 40 до 60% населения). Это в 5-6 раз дешевле, чем их ликвидация, общие расходы на которую могут составить около 120 </w:t>
      </w:r>
      <w:proofErr w:type="spellStart"/>
      <w:proofErr w:type="gram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млрд</w:t>
      </w:r>
      <w:proofErr w:type="spellEnd"/>
      <w:proofErr w:type="gram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рублей. Кроме того, политика управляемого сжатия позволит вернуть в экономическую деятельность 45-50 тыс. человек, многие из которых являются квалифицированными работниками с навыками к переобучению. 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Среди основных механизмов модели – региональная и федеральная поддержка переезжающих (выплаты подъемных, выкуп освобождаемого жилья), муниципальные программы по оптимизации территории поселения (концентрация в отдельных районах, оптимизация коммунальной инфраструктуры, снос ветхого жилья), сохранение социальных учреждений (больниц, школ, детских садов, пунктов полиции) и уровня социального обслуживания населения (ставок врачей, участковых).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Сегодня в городах такого типа проживает около 100 тыс. человек. Отсутствие государственной поддержки приведет к стремительной деградации этих городов, росту безработицы, обвалу коммунальных служб и социальной сферы и, как следствие, нарастанию протестной активности. </w:t>
      </w:r>
    </w:p>
    <w:p w:rsidR="004B4B3B" w:rsidRPr="004B4B3B" w:rsidRDefault="004B4B3B" w:rsidP="004B4B3B">
      <w:pPr>
        <w:numPr>
          <w:ilvl w:val="0"/>
          <w:numId w:val="1"/>
        </w:numPr>
        <w:shd w:val="clear" w:color="auto" w:fill="FFFFFF"/>
        <w:spacing w:before="195" w:after="195" w:line="300" w:lineRule="atLeast"/>
        <w:ind w:left="0"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В 35% кризисных городов, где градообразующее предприятие стабильно развивается, но нет потенциала для новой городской экономики, решение лежит в плоскости политики «малых дел», направленной на точечное решение ключевых инфраструктурных и социальных проблем (ЖКХ, благоустройство города, развитие сферы услуг и пр.).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Решение самых насущных проблем моногородов этого типа потребует в 2014-2016 годах около 1,5-2 </w:t>
      </w:r>
      <w:proofErr w:type="spellStart"/>
      <w:proofErr w:type="gramStart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млрд</w:t>
      </w:r>
      <w:proofErr w:type="spellEnd"/>
      <w:proofErr w:type="gramEnd"/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 рублей.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Инициаторами программы «малых дел» могут являться местные власти и местное сообщество. Как показало исследование, например, в Белогорске (Кемеровская область) такая программа должна быть ориентирована на повышение комфортности городской среды и социальной обеспеченности жителей. Речь идет о реконструкции поселковой котельной, привлечении в поселок недостающих врачей, учителей, организации общественных простран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ств дл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 досуга и пр. Для поселка с населением в 4,5 тыс. жителей затраты на решение этих задач составляют около 70 </w:t>
      </w:r>
      <w:proofErr w:type="spellStart"/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млн</w:t>
      </w:r>
      <w:proofErr w:type="spellEnd"/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рублей (примерно 1,5 тыс. рублей на человека). </w:t>
      </w:r>
    </w:p>
    <w:p w:rsidR="004B4B3B" w:rsidRPr="004B4B3B" w:rsidRDefault="004B4B3B" w:rsidP="004B4B3B">
      <w:pPr>
        <w:numPr>
          <w:ilvl w:val="0"/>
          <w:numId w:val="1"/>
        </w:numPr>
        <w:shd w:val="clear" w:color="auto" w:fill="FFFFFF"/>
        <w:spacing w:before="195" w:after="195" w:line="300" w:lineRule="atLeast"/>
        <w:ind w:left="0" w:right="36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Только 45% кризисных моногородов обладают потенциалом индустриальной диверсификации. Реализация модели «Индустриальная диверсификация» в таких городах позволит в 2014-2016 гг. создать 60-90 тыс. новых рабочих мест. 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Ядром модели могут стать муниципальные индустриальные парки, которые являются наиболее удобной формой организации деятельности среднего бизнеса в моногородах с индустриальным потенциалом. Как показало исследование, именно средний бизнес является драйвером 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экономического роста в небольших городах. При этом рецепты диверсификации не нужно искать: часто предприниматели сами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находят и предлагают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направления диверсификации городской экономики. Например, в Кандалакше (Мурманская область) стараниями местного предпринимательского сообщества формируется туристический кластер, который стал совершенно новым направлением развития городской экономики.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Комментируя результаты исследования, Председатель наблюдательного совета группы «Базовый Элемент» Олег Дерипаска отметил: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«Проведенное исследование позволило получить объективную информацию о ситуации в моногородах по всей России. На основании результатов исследования мы разработали предложения по мерам поддержки и развития моногородов всех типов. Важно, чтобы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госполитика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отношении моногородов была основана на дифференцированном подходе, поэтому мы предлагаем сформировать долгосрочную федеральную целевую программу поддержки моногородов с двумя специальными подпрограммами. Первая подпрограмма должна быть направлена на стимулирование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инвестиционного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развития для диверсификации экономики в тех городах, которые обладают индустриальным потенциалом. Вторая – на обеспечение социальных стандартов в тех моногородах, где планируется ликвидировать градообразующее предприятие, а также в моногородах, где нет инвестиционного потенциала. Экспериментальными площадками, где можно будет отработать типовые модели развития моногородов, могут стать моногорода присутствия «Базового Элемента», где уже проведена большая предварительная работа».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br w:type="textWrapping" w:clear="all"/>
      </w:r>
    </w:p>
    <w:p w:rsidR="004B4B3B" w:rsidRPr="004B4B3B" w:rsidRDefault="003C5AEB" w:rsidP="004B4B3B">
      <w:pPr>
        <w:shd w:val="clear" w:color="auto" w:fill="FFFFFF"/>
        <w:spacing w:after="34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C5AEB">
        <w:rPr>
          <w:rFonts w:ascii="Arial" w:eastAsia="Times New Roman" w:hAnsi="Arial" w:cs="Arial"/>
          <w:color w:val="333333"/>
          <w:sz w:val="20"/>
          <w:szCs w:val="20"/>
          <w:lang w:eastAsia="ru-RU"/>
        </w:rPr>
        <w:pict>
          <v:rect id="_x0000_i1025" style="width:467.75pt;height:.75pt" o:hrstd="t" o:hr="t" fillcolor="#aca899" stroked="f"/>
        </w:pict>
      </w:r>
    </w:p>
    <w:bookmarkStart w:id="1" w:name="_ftn1"/>
    <w:p w:rsidR="004B4B3B" w:rsidRPr="004B4B3B" w:rsidRDefault="003C5AE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="004B4B3B"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file:///C:\\Users\\SvetlanaMM\\AppData\\Local\\Microsoft\\Windows\\Temporary%20Internet%20Files\\Content.Outlook\\C7JP0X1Y\\29012014_%D0%91%D0%B0%D0%B7%D0%BE%D0%B2%D1%8B%D0%B9%20%D0%AD%D0%BB%D0%B5%D0%BC%D0%B5%D0%BD%D1%82%20%D0%BF%D1%80%D0%B5%D0%B4%D1%81%D1%82%D0%B0%D0%B2%D0%BB%D1%8F%D0%B5%D1%82%20%D1%80%D0%B5%D0%B7%D1%83%D0%BB%D1%8C%D1%82%D0%B0%D1%82%D1%8B%20%D0%B8%D1%81%D1%81%D0%BB%D0%B5%D0%B4%D0%BE%D0%B2%D0%B0%D0%BD%D0%B8%D1%8F%20%D0%BF%D0%BE%20%D0%BF%D0%BE%D0%B8%D1%81%D0%BA%D1%83%20%D0%BD%D0%BE%D0%B2%D1%8B%D1%85%20%D0%BC%D0%BE%D0%B4%D0%B5%D0%BB%D0%B5%D0%B9%20%D1%84%D1%83%D0%BD%D0%BA%D1%86%D0%B8%D0%BE%D0%BD%D0%B8%D1%80%D0%BE%D0%B2%D0%B0%D0%BD%D0%B8%D1%8F%20%D0%BC%D0%BE%D0%BD%D0%BE%D0%B3%D0%BE%D1%80%D0%BE%D0%B4%D0%BE%D0%B2%20%D0%A0%D0%BE%D1%81%D1%81%D0%B8%D0%B8.docx" \l "_ftnref1" </w:instrTex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="004B4B3B" w:rsidRPr="004B4B3B">
        <w:rPr>
          <w:rFonts w:ascii="Arial" w:eastAsia="Times New Roman" w:hAnsi="Arial" w:cs="Arial"/>
          <w:color w:val="009999"/>
          <w:sz w:val="20"/>
          <w:szCs w:val="20"/>
          <w:u w:val="single"/>
          <w:lang w:eastAsia="ru-RU"/>
        </w:rPr>
        <w:t>[1]</w:t>
      </w: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bookmarkEnd w:id="1"/>
      <w:r w:rsidR="004B4B3B"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«Кризисный» перечень моногородов </w:t>
      </w:r>
      <w:proofErr w:type="gramStart"/>
      <w:r w:rsidR="004B4B3B"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был составлен летом 2013 года и включает</w:t>
      </w:r>
      <w:proofErr w:type="gramEnd"/>
      <w:r w:rsidR="004B4B3B"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города с наиболее сложной социально-экономической ситуацией. 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Об исследовании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Исследование, посвященное поиску новых моделей функционирования моногородов </w:t>
      </w: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России, было проведено в 2013 году и не имеет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прецедентов по своему масштабу и является первым известным нам опытом системного изучения проблемы моногородов России с проведением обширных полевых работ.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Задачей исследования было сформировать новые модели функционирования моногородов России в изменившихся экономических условиях – определить набор мероприятий (что делать) и механизмов их реализации (как делать).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Исследование было проведено в 18 городах и поселках городского типа, расположенных в 13 регионах России: </w:t>
      </w:r>
      <w:proofErr w:type="spellStart"/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Жирекене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(Забайкальский край), Ярославском (Приморский край), Надвоицах (Республика Карелия), Белогорске (Кемеровская область), Североуральске, Краснотурьинске, Каменске-Уральском, Полевском (Свердловская область), Сорске (Республика Хакасия), Черемхове (Иркутская область),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Селенгинске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(Республика Бурятия), Кондрове (Калужская область), Пикалеве, Волхове, Бокситогорске (Ленинградская область), Канаше (Республика Чувашия), Кандалакше (Мурманская область), Ачинске (Красноярский край). </w:t>
      </w:r>
      <w:proofErr w:type="gramEnd"/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gram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lastRenderedPageBreak/>
        <w:t xml:space="preserve">В рамках исследования была проанализирована социально-экономическая ситуация в выбранных городах, проведена их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типологизация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зависимости от перспектив развития градообразующих предприятий и возможностей мобилизации собственного потенциала городских экономик.</w:t>
      </w:r>
      <w:proofErr w:type="gram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Кроме того, были изучены лучшие мировые практики реновации с целью адаптации найденных решений для развития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монопрофильных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поселений России.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В ходе исследования было проведено более 300 глубинных интервью с менеджерами управляющих компаний, руководителями градообразующих предприятий, сотрудниками городских и районных администраций и органов власти субъектов РФ, местными предпринимателями, депутатами, представителями профсоюзов, различных общественных организаций, городскими активистами.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Данное исследование позволило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объективизировать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представление о реальных проблемах и рисках развития моногородов разных типов в зависимости от размера, отрасли специализации, географического положения города.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Кроме того, настоящее исследование предложило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новый, дифференцированный подход к решению проблемы моногородов в зависимости от их типов на основании комплексного социально-экономического анализа и прогноза их развития;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универсальные методические правила построения сценариев развития моногородов после выявления и анализа таких </w:t>
      </w:r>
      <w:proofErr w:type="spellStart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сценарноформирующих</w:t>
      </w:r>
      <w:proofErr w:type="spellEnd"/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факторов, как состояние и перспективы развития градообразующего предприятия и остальной экономики города, а также мер, принимаемых городской и региональной администрациями;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• эффективные механизмы мониторинга ситуации в моногородах на основании сформированных сценариев развития. Помимо прочего, предлагаемые механизмы мониторинга на основании известных сценариев развития и точек бифуркации также выполняют предикативные функции. </w:t>
      </w:r>
    </w:p>
    <w:p w:rsidR="004B4B3B" w:rsidRPr="004B4B3B" w:rsidRDefault="004B4B3B" w:rsidP="004B4B3B">
      <w:pPr>
        <w:shd w:val="clear" w:color="auto" w:fill="FFFFFF"/>
        <w:spacing w:after="195" w:line="300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B4B3B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По заказу «Базового Элемента» исследование было проведено Центром стратегических разработок (ЦСР). </w:t>
      </w:r>
    </w:p>
    <w:p w:rsidR="00830509" w:rsidRDefault="00830509"/>
    <w:sectPr w:rsidR="00830509" w:rsidSect="00830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2B34"/>
    <w:multiLevelType w:val="multilevel"/>
    <w:tmpl w:val="967E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3B"/>
    <w:rsid w:val="00104B58"/>
    <w:rsid w:val="003C5AEB"/>
    <w:rsid w:val="004B4B3B"/>
    <w:rsid w:val="00667E2F"/>
    <w:rsid w:val="0083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509"/>
  </w:style>
  <w:style w:type="paragraph" w:styleId="1">
    <w:name w:val="heading 1"/>
    <w:basedOn w:val="a"/>
    <w:link w:val="10"/>
    <w:uiPriority w:val="9"/>
    <w:qFormat/>
    <w:rsid w:val="004B4B3B"/>
    <w:pPr>
      <w:spacing w:after="150" w:line="300" w:lineRule="atLeast"/>
      <w:outlineLvl w:val="0"/>
    </w:pPr>
    <w:rPr>
      <w:rFonts w:ascii="Trebuchet MS" w:eastAsia="Times New Roman" w:hAnsi="Trebuchet MS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4B3B"/>
    <w:rPr>
      <w:rFonts w:ascii="Trebuchet MS" w:eastAsia="Times New Roman" w:hAnsi="Trebuchet MS" w:cs="Times New Roman"/>
      <w:b/>
      <w:bCs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4B4B3B"/>
    <w:rPr>
      <w:color w:val="009999"/>
      <w:u w:val="single"/>
    </w:rPr>
  </w:style>
  <w:style w:type="paragraph" w:styleId="a4">
    <w:name w:val="Normal (Web)"/>
    <w:basedOn w:val="a"/>
    <w:uiPriority w:val="99"/>
    <w:semiHidden/>
    <w:unhideWhenUsed/>
    <w:rsid w:val="004B4B3B"/>
    <w:pPr>
      <w:spacing w:after="195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01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1897</Words>
  <Characters>10817</Characters>
  <Application>Microsoft Office Word</Application>
  <DocSecurity>0</DocSecurity>
  <Lines>90</Lines>
  <Paragraphs>25</Paragraphs>
  <ScaleCrop>false</ScaleCrop>
  <Company/>
  <LinksUpToDate>false</LinksUpToDate>
  <CharactersWithSpaces>12689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nikitina_ta</dc:creator>
  <cp:keywords/>
  <dc:description/>
  <cp:lastModifiedBy>nikitina_ta</cp:lastModifiedBy>
  <cp:revision>3</cp:revision>
  <dcterms:created xsi:type="dcterms:W3CDTF">2014-01-30T08:35:00Z</dcterms:created>
  <dcterms:modified xsi:type="dcterms:W3CDTF">2014-01-30T08:52:00Z</dcterms:modified>
</cp:coreProperties>
</file>